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894" w:firstLineChars="297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2020级硕士生平台课《学习与研究方法》讲座安排</w:t>
      </w:r>
    </w:p>
    <w:p>
      <w:pPr>
        <w:spacing w:line="480" w:lineRule="auto"/>
        <w:ind w:left="1440" w:hanging="1440" w:hangingChars="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第一讲     </w:t>
      </w:r>
      <w:r>
        <w:rPr>
          <w:rFonts w:hint="eastAsia" w:ascii="宋体" w:hAnsi="宋体"/>
          <w:bCs/>
          <w:sz w:val="24"/>
        </w:rPr>
        <w:t>樊志辉：思向</w:t>
      </w:r>
      <w:r>
        <w:rPr>
          <w:rFonts w:hint="eastAsia" w:ascii="宋体" w:hAnsi="宋体"/>
          <w:sz w:val="24"/>
        </w:rPr>
        <w:t>何处以及如何入思、思如何入言——关于哲学思考与哲学研究的断想</w:t>
      </w:r>
    </w:p>
    <w:p>
      <w:pPr>
        <w:spacing w:line="48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第二讲     陈泽环： 从修己安人到淑身济物——从梁启超的哲学观谈起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第三讲   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张自慧：从孟子的“以意逆志”谈中国古代典籍的研读方法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第四讲     何云峰： 漫谈研究生论文选题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第五讲     </w:t>
      </w:r>
      <w:r>
        <w:rPr>
          <w:rFonts w:hint="eastAsia" w:ascii="宋体" w:hAnsi="宋体" w:cs="Arial"/>
          <w:kern w:val="0"/>
          <w:sz w:val="24"/>
        </w:rPr>
        <w:t>蔡志栋：</w:t>
      </w:r>
      <w:r>
        <w:rPr>
          <w:rFonts w:hint="eastAsia" w:ascii="宋体" w:hAnsi="宋体"/>
          <w:sz w:val="24"/>
        </w:rPr>
        <w:t xml:space="preserve"> 以问题为中心</w:t>
      </w:r>
      <w:r>
        <w:rPr>
          <w:rStyle w:val="9"/>
          <w:rFonts w:ascii="宋体" w:hAnsi="宋体"/>
          <w:sz w:val="24"/>
        </w:rPr>
        <w:t>—张岱年哲学方法论初探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第六讲     </w:t>
      </w:r>
      <w:r>
        <w:rPr>
          <w:rFonts w:ascii="宋体" w:hAnsi="宋体" w:cs="Arial"/>
          <w:kern w:val="0"/>
          <w:sz w:val="24"/>
        </w:rPr>
        <w:t>王江武</w:t>
      </w:r>
      <w:r>
        <w:rPr>
          <w:rFonts w:hint="eastAsia" w:ascii="宋体" w:hAnsi="宋体" w:cs="Arial"/>
          <w:kern w:val="0"/>
          <w:sz w:val="24"/>
        </w:rPr>
        <w:t>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 w:cs="Arial"/>
          <w:kern w:val="0"/>
          <w:sz w:val="24"/>
        </w:rPr>
        <w:t>孔子的政治思想</w:t>
      </w:r>
    </w:p>
    <w:p>
      <w:pPr>
        <w:spacing w:line="480" w:lineRule="auto"/>
        <w:rPr>
          <w:rFonts w:ascii="宋体" w:hAnsi="宋体" w:cs="Arial"/>
          <w:kern w:val="0"/>
          <w:sz w:val="24"/>
        </w:rPr>
      </w:pPr>
      <w:r>
        <w:rPr>
          <w:rFonts w:hint="eastAsia" w:ascii="宋体" w:hAnsi="宋体"/>
          <w:sz w:val="24"/>
        </w:rPr>
        <w:t>第七讲     孔庆典：漫谈学术积累与学术写作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第八讲     </w:t>
      </w:r>
      <w:r>
        <w:rPr>
          <w:rFonts w:hint="eastAsia" w:ascii="宋体" w:hAnsi="宋体"/>
          <w:sz w:val="24"/>
        </w:rPr>
        <w:t>乐小军： 读哲学，所学何事？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第九讲     </w:t>
      </w:r>
      <w:r>
        <w:rPr>
          <w:rStyle w:val="7"/>
          <w:rFonts w:hint="eastAsia"/>
          <w:b w:val="0"/>
          <w:sz w:val="24"/>
        </w:rPr>
        <w:t>吴广成</w:t>
      </w:r>
      <w:r>
        <w:rPr>
          <w:rStyle w:val="7"/>
          <w:rFonts w:hint="eastAsia"/>
          <w:sz w:val="24"/>
        </w:rPr>
        <w:t>：</w:t>
      </w:r>
      <w:r>
        <w:rPr>
          <w:rFonts w:hint="eastAsia" w:ascii="宋体" w:hAnsi="宋体"/>
          <w:sz w:val="24"/>
        </w:rPr>
        <w:t xml:space="preserve"> 如何理解宗教？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第十讲     伍小劼： 准确解读文献是科学研究的基础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第十一讲   晏辉：“在学术与思想之间：研究问题的两种范式”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第十二讲   崔平：逻辑论证的学术效应</w:t>
      </w:r>
    </w:p>
    <w:p>
      <w:pPr>
        <w:spacing w:line="480" w:lineRule="auto"/>
        <w:rPr>
          <w:rFonts w:ascii="宋体" w:hAnsi="宋体"/>
          <w:b/>
          <w:sz w:val="24"/>
        </w:rPr>
      </w:pPr>
    </w:p>
    <w:p>
      <w:pPr>
        <w:spacing w:line="48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</w:p>
    <w:p>
      <w:pPr>
        <w:spacing w:line="48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讲座时间：周五下午（3节，1点钟开始），</w:t>
      </w:r>
    </w:p>
    <w:p>
      <w:pPr>
        <w:spacing w:line="48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讲座地点：</w:t>
      </w:r>
      <w:r>
        <w:rPr>
          <w:rFonts w:hint="eastAsia" w:ascii="宋体" w:hAnsi="宋体"/>
          <w:b/>
          <w:sz w:val="24"/>
          <w:lang w:val="en-US" w:eastAsia="zh-CN"/>
        </w:rPr>
        <w:t>三教408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 xml:space="preserve">     </w:t>
      </w:r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D12"/>
    <w:rsid w:val="000526DD"/>
    <w:rsid w:val="0009698C"/>
    <w:rsid w:val="00132FF2"/>
    <w:rsid w:val="00141A66"/>
    <w:rsid w:val="003902BB"/>
    <w:rsid w:val="003C005F"/>
    <w:rsid w:val="003E1D12"/>
    <w:rsid w:val="00486CB6"/>
    <w:rsid w:val="004B106A"/>
    <w:rsid w:val="00503C72"/>
    <w:rsid w:val="005129EB"/>
    <w:rsid w:val="005346EF"/>
    <w:rsid w:val="005423EA"/>
    <w:rsid w:val="005A437B"/>
    <w:rsid w:val="005E149C"/>
    <w:rsid w:val="00606559"/>
    <w:rsid w:val="00707FE7"/>
    <w:rsid w:val="0076643F"/>
    <w:rsid w:val="00781A6A"/>
    <w:rsid w:val="00797BB3"/>
    <w:rsid w:val="00821F38"/>
    <w:rsid w:val="008D2776"/>
    <w:rsid w:val="008E0F8D"/>
    <w:rsid w:val="0091466E"/>
    <w:rsid w:val="00977A2B"/>
    <w:rsid w:val="009A2A55"/>
    <w:rsid w:val="009F176B"/>
    <w:rsid w:val="00A16E60"/>
    <w:rsid w:val="00A67A3D"/>
    <w:rsid w:val="00AF346A"/>
    <w:rsid w:val="00C47E91"/>
    <w:rsid w:val="00D37570"/>
    <w:rsid w:val="00DE60EF"/>
    <w:rsid w:val="00E725B3"/>
    <w:rsid w:val="00FA1F01"/>
    <w:rsid w:val="1B7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Cs w:val="21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Cs w:val="21"/>
    </w:rPr>
  </w:style>
  <w:style w:type="character" w:customStyle="1" w:styleId="8">
    <w:name w:val="s3"/>
    <w:basedOn w:val="6"/>
    <w:uiPriority w:val="0"/>
  </w:style>
  <w:style w:type="character" w:customStyle="1" w:styleId="9">
    <w:name w:val="s5"/>
    <w:basedOn w:val="6"/>
    <w:uiPriority w:val="0"/>
  </w:style>
  <w:style w:type="character" w:customStyle="1" w:styleId="10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62</TotalTime>
  <ScaleCrop>false</ScaleCrop>
  <LinksUpToDate>false</LinksUpToDate>
  <CharactersWithSpaces>400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2017-09-14T13:38:00Z</dcterms:created>
  <dc:creator>admin</dc:creator>
  <cp:lastModifiedBy>东楚之黍</cp:lastModifiedBy>
  <dcterms:modified xsi:type="dcterms:W3CDTF">2020-05-31T02:48:58Z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